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40" w:rsidRPr="003D420C" w:rsidRDefault="009E29AE" w:rsidP="00A75D33">
      <w:pPr>
        <w:spacing w:after="0" w:line="240" w:lineRule="auto"/>
        <w:contextualSpacing/>
        <w:jc w:val="center"/>
        <w:rPr>
          <w:b/>
          <w:color w:val="1F4E79" w:themeColor="accent1" w:themeShade="80"/>
          <w:sz w:val="28"/>
        </w:rPr>
      </w:pPr>
      <w:r w:rsidRPr="003D420C">
        <w:rPr>
          <w:b/>
          <w:noProof/>
          <w:color w:val="1F4E79" w:themeColor="accent1" w:themeShade="80"/>
          <w:sz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26553</wp:posOffset>
            </wp:positionH>
            <wp:positionV relativeFrom="paragraph">
              <wp:posOffset>-251862</wp:posOffset>
            </wp:positionV>
            <wp:extent cx="936697" cy="931178"/>
            <wp:effectExtent l="0" t="0" r="0" b="2540"/>
            <wp:wrapNone/>
            <wp:docPr id="1" name="Resim 1" descr="C:\Users\Aydın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dınn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21" cy="93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640" w:rsidRPr="003D420C">
        <w:rPr>
          <w:b/>
          <w:color w:val="1F4E79" w:themeColor="accent1" w:themeShade="80"/>
          <w:sz w:val="28"/>
        </w:rPr>
        <w:t>ONDOKUZ MAYIS ÜNİVESİTESİ</w:t>
      </w:r>
    </w:p>
    <w:p w:rsidR="00A75D33" w:rsidRPr="003D420C" w:rsidRDefault="00654AE2" w:rsidP="00A75D33">
      <w:pPr>
        <w:spacing w:after="0" w:line="240" w:lineRule="auto"/>
        <w:contextualSpacing/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2022/2023</w:t>
      </w:r>
      <w:r w:rsidR="00A75D33" w:rsidRPr="003D420C">
        <w:rPr>
          <w:b/>
          <w:color w:val="1F4E79" w:themeColor="accent1" w:themeShade="80"/>
          <w:sz w:val="28"/>
        </w:rPr>
        <w:t xml:space="preserve"> Eğitim Öğretim Yılı </w:t>
      </w:r>
    </w:p>
    <w:p w:rsidR="00A75D33" w:rsidRPr="003D420C" w:rsidRDefault="00A75D33" w:rsidP="00A75D33">
      <w:pPr>
        <w:spacing w:after="0" w:line="240" w:lineRule="auto"/>
        <w:contextualSpacing/>
        <w:jc w:val="center"/>
        <w:rPr>
          <w:b/>
          <w:color w:val="1F4E79" w:themeColor="accent1" w:themeShade="80"/>
          <w:sz w:val="28"/>
        </w:rPr>
      </w:pPr>
      <w:r w:rsidRPr="003D420C">
        <w:rPr>
          <w:b/>
          <w:color w:val="1F4E79" w:themeColor="accent1" w:themeShade="80"/>
          <w:sz w:val="28"/>
        </w:rPr>
        <w:t>Yeni Kazanan Öğrenciler İçin Oryantasyon Programı</w:t>
      </w:r>
    </w:p>
    <w:p w:rsidR="00201640" w:rsidRPr="003D420C" w:rsidRDefault="00201640">
      <w:pPr>
        <w:rPr>
          <w:b/>
          <w:color w:val="1F4E79" w:themeColor="accent1" w:themeShade="80"/>
          <w:sz w:val="28"/>
        </w:rPr>
      </w:pPr>
    </w:p>
    <w:p w:rsidR="009D05DA" w:rsidRPr="009E29AE" w:rsidRDefault="009D05DA" w:rsidP="00E47346">
      <w:pPr>
        <w:ind w:firstLine="708"/>
        <w:jc w:val="both"/>
        <w:rPr>
          <w:b/>
        </w:rPr>
      </w:pPr>
      <w:r w:rsidRPr="009E29AE">
        <w:rPr>
          <w:b/>
        </w:rPr>
        <w:t xml:space="preserve">Düzenlenecek uyum programı, </w:t>
      </w:r>
      <w:r w:rsidR="00654AE2">
        <w:rPr>
          <w:b/>
        </w:rPr>
        <w:t>fakültemize</w:t>
      </w:r>
      <w:r w:rsidR="00D32783">
        <w:rPr>
          <w:b/>
        </w:rPr>
        <w:t xml:space="preserve"> yeni</w:t>
      </w:r>
      <w:r w:rsidR="00BE45AB" w:rsidRPr="009E29AE">
        <w:rPr>
          <w:b/>
        </w:rPr>
        <w:t xml:space="preserve"> kayıt </w:t>
      </w:r>
      <w:r w:rsidR="00D32783">
        <w:rPr>
          <w:b/>
        </w:rPr>
        <w:t>yaptıran</w:t>
      </w:r>
      <w:r w:rsidR="00BE45AB" w:rsidRPr="009E29AE">
        <w:rPr>
          <w:b/>
        </w:rPr>
        <w:t xml:space="preserve"> siz değerli öğrencilerimizin Samsun’a ve üniversite yaşamına uyum sürecine yardımcı olmak, ortaöğretimden yükseköğretim</w:t>
      </w:r>
      <w:r w:rsidRPr="009E29AE">
        <w:rPr>
          <w:b/>
        </w:rPr>
        <w:t xml:space="preserve"> programlarına sorunsuz bir şekilde geçiş yapmanıza ve öğrencilik yaşamınız boyunca eğitim öğretim faaliyetleri açısından sorun yaşamamanıza ve üniversite kaynaklarını tanımanıza yardımcı olacaktır.</w:t>
      </w:r>
    </w:p>
    <w:p w:rsidR="001B4D4C" w:rsidRPr="009E29AE" w:rsidRDefault="009D05DA" w:rsidP="00E47346">
      <w:pPr>
        <w:ind w:firstLine="708"/>
        <w:jc w:val="both"/>
        <w:rPr>
          <w:b/>
        </w:rPr>
      </w:pPr>
      <w:r w:rsidRPr="009E29AE">
        <w:rPr>
          <w:b/>
        </w:rPr>
        <w:t>Sizlerle</w:t>
      </w:r>
      <w:r w:rsidR="001B4D4C" w:rsidRPr="009E29AE">
        <w:rPr>
          <w:b/>
        </w:rPr>
        <w:t xml:space="preserve"> üniversite arasındaki ilk bağın </w:t>
      </w:r>
      <w:r w:rsidRPr="009E29AE">
        <w:rPr>
          <w:b/>
        </w:rPr>
        <w:t>kurulduğu faaliyet olacaktır.</w:t>
      </w:r>
    </w:p>
    <w:p w:rsidR="001B4D4C" w:rsidRPr="009E29AE" w:rsidRDefault="00654AE2" w:rsidP="00E47346">
      <w:pPr>
        <w:ind w:firstLine="708"/>
        <w:jc w:val="both"/>
        <w:rPr>
          <w:b/>
        </w:rPr>
      </w:pPr>
      <w:r>
        <w:rPr>
          <w:b/>
        </w:rPr>
        <w:t>Fakültemize</w:t>
      </w:r>
      <w:r w:rsidR="001B4D4C" w:rsidRPr="009E29AE">
        <w:rPr>
          <w:b/>
        </w:rPr>
        <w:t xml:space="preserve"> yeni kayıt yaptıran bütün öğrencilerin</w:t>
      </w:r>
      <w:r w:rsidR="009D05DA" w:rsidRPr="009E29AE">
        <w:rPr>
          <w:b/>
        </w:rPr>
        <w:t xml:space="preserve"> aşağıda ilan edilen planlama doğrultusunda uyum programlarına katılmaları</w:t>
      </w:r>
      <w:r w:rsidR="001B4D4C" w:rsidRPr="009E29AE">
        <w:rPr>
          <w:b/>
        </w:rPr>
        <w:t xml:space="preserve"> zorunludur.</w:t>
      </w:r>
    </w:p>
    <w:p w:rsidR="009E29AE" w:rsidRPr="00D53865" w:rsidRDefault="00201A80" w:rsidP="009E29AE">
      <w:pPr>
        <w:spacing w:after="0" w:line="240" w:lineRule="auto"/>
        <w:contextualSpacing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Oryantasyon</w:t>
      </w:r>
      <w:r w:rsidR="009E29AE" w:rsidRPr="00D53865">
        <w:rPr>
          <w:b/>
          <w:color w:val="C00000"/>
          <w:sz w:val="28"/>
        </w:rPr>
        <w:t xml:space="preserve"> Programı</w:t>
      </w:r>
      <w:r w:rsidR="003D420C" w:rsidRPr="00D53865">
        <w:rPr>
          <w:b/>
          <w:color w:val="C00000"/>
          <w:sz w:val="28"/>
        </w:rPr>
        <w:t xml:space="preserve"> ve Konuları</w:t>
      </w:r>
    </w:p>
    <w:p w:rsidR="009E29AE" w:rsidRPr="003D420C" w:rsidRDefault="009E29AE" w:rsidP="002E78E7">
      <w:pPr>
        <w:spacing w:after="0" w:line="276" w:lineRule="auto"/>
        <w:contextualSpacing/>
        <w:jc w:val="center"/>
        <w:rPr>
          <w:color w:val="FF0000"/>
        </w:rPr>
      </w:pPr>
      <w:r w:rsidRPr="003D420C">
        <w:rPr>
          <w:color w:val="FF0000"/>
        </w:rPr>
        <w:t>Açılış</w:t>
      </w:r>
    </w:p>
    <w:p w:rsidR="009E29AE" w:rsidRPr="003D420C" w:rsidRDefault="009E29AE" w:rsidP="002E78E7">
      <w:pPr>
        <w:spacing w:after="0" w:line="276" w:lineRule="auto"/>
        <w:contextualSpacing/>
        <w:jc w:val="center"/>
        <w:rPr>
          <w:color w:val="FF0000"/>
        </w:rPr>
      </w:pPr>
      <w:r w:rsidRPr="003D420C">
        <w:rPr>
          <w:color w:val="FF0000"/>
        </w:rPr>
        <w:t>Hoş Ge</w:t>
      </w:r>
      <w:r w:rsidR="00D4120B">
        <w:rPr>
          <w:color w:val="FF0000"/>
        </w:rPr>
        <w:t>ldiniz Konuşmaları ( Dekan/Dekan Yrd.</w:t>
      </w:r>
      <w:r w:rsidRPr="003D420C">
        <w:rPr>
          <w:color w:val="FF0000"/>
        </w:rPr>
        <w:t>)</w:t>
      </w:r>
    </w:p>
    <w:p w:rsidR="009E29AE" w:rsidRPr="003D420C" w:rsidRDefault="00D4120B" w:rsidP="002E78E7">
      <w:pPr>
        <w:spacing w:after="0" w:line="276" w:lineRule="auto"/>
        <w:contextualSpacing/>
        <w:jc w:val="center"/>
        <w:rPr>
          <w:color w:val="FF0000"/>
        </w:rPr>
      </w:pPr>
      <w:r>
        <w:rPr>
          <w:color w:val="FF0000"/>
        </w:rPr>
        <w:t>Dekan</w:t>
      </w:r>
      <w:r w:rsidR="009E29AE" w:rsidRPr="003D420C">
        <w:rPr>
          <w:color w:val="FF0000"/>
        </w:rPr>
        <w:t xml:space="preserve">, </w:t>
      </w:r>
      <w:r>
        <w:rPr>
          <w:color w:val="FF0000"/>
        </w:rPr>
        <w:t>Dekan</w:t>
      </w:r>
      <w:r w:rsidRPr="003D420C">
        <w:rPr>
          <w:color w:val="FF0000"/>
        </w:rPr>
        <w:t xml:space="preserve"> </w:t>
      </w:r>
      <w:r w:rsidR="009E29AE" w:rsidRPr="003D420C">
        <w:rPr>
          <w:color w:val="FF0000"/>
        </w:rPr>
        <w:t>Y</w:t>
      </w:r>
      <w:r>
        <w:rPr>
          <w:color w:val="FF0000"/>
        </w:rPr>
        <w:t xml:space="preserve">ardımcıları ve Bölüm Öğretim Elemanları </w:t>
      </w:r>
      <w:r w:rsidR="009E29AE" w:rsidRPr="003D420C">
        <w:rPr>
          <w:color w:val="FF0000"/>
        </w:rPr>
        <w:t>ile Tanışma</w:t>
      </w:r>
    </w:p>
    <w:p w:rsidR="00D4120B" w:rsidRDefault="00D4120B" w:rsidP="002E78E7">
      <w:pPr>
        <w:spacing w:after="0" w:line="276" w:lineRule="auto"/>
        <w:contextualSpacing/>
        <w:jc w:val="center"/>
        <w:rPr>
          <w:color w:val="FF0000"/>
        </w:rPr>
      </w:pPr>
      <w:r>
        <w:rPr>
          <w:color w:val="FF0000"/>
        </w:rPr>
        <w:t xml:space="preserve">Fakültemiz Fiziki </w:t>
      </w:r>
      <w:proofErr w:type="gramStart"/>
      <w:r>
        <w:rPr>
          <w:color w:val="FF0000"/>
        </w:rPr>
        <w:t>İmkanlarının</w:t>
      </w:r>
      <w:proofErr w:type="gramEnd"/>
      <w:r>
        <w:rPr>
          <w:color w:val="FF0000"/>
        </w:rPr>
        <w:t xml:space="preserve"> Tanıtılması </w:t>
      </w:r>
    </w:p>
    <w:p w:rsidR="00D4120B" w:rsidRDefault="00D4120B" w:rsidP="002E78E7">
      <w:pPr>
        <w:spacing w:after="0" w:line="276" w:lineRule="auto"/>
        <w:contextualSpacing/>
        <w:jc w:val="center"/>
        <w:rPr>
          <w:color w:val="FF0000"/>
        </w:rPr>
      </w:pPr>
      <w:r>
        <w:rPr>
          <w:color w:val="FF0000"/>
        </w:rPr>
        <w:t>Öğrencilerin Takip Etmesi Gereken İş ve İşlem Süreçleri (Danışman, ABD, Bölüm ve Dekanlık)</w:t>
      </w:r>
    </w:p>
    <w:p w:rsidR="00D4120B" w:rsidRDefault="00D4120B" w:rsidP="002E78E7">
      <w:pPr>
        <w:spacing w:after="0" w:line="276" w:lineRule="auto"/>
        <w:contextualSpacing/>
        <w:jc w:val="center"/>
        <w:rPr>
          <w:color w:val="FF0000"/>
        </w:rPr>
      </w:pPr>
      <w:r>
        <w:rPr>
          <w:color w:val="FF0000"/>
        </w:rPr>
        <w:t>Burslar Hakkında Bilgilendirme</w:t>
      </w:r>
    </w:p>
    <w:p w:rsidR="009E29AE" w:rsidRDefault="009E29AE" w:rsidP="002E78E7">
      <w:pPr>
        <w:spacing w:after="0" w:line="276" w:lineRule="auto"/>
        <w:contextualSpacing/>
        <w:jc w:val="center"/>
        <w:rPr>
          <w:color w:val="FF0000"/>
        </w:rPr>
      </w:pPr>
      <w:r w:rsidRPr="003D420C">
        <w:rPr>
          <w:color w:val="FF0000"/>
        </w:rPr>
        <w:t>Öğrenci Bilgi Yönetim Sisteminin Tanıtılması</w:t>
      </w:r>
    </w:p>
    <w:p w:rsidR="00D53865" w:rsidRPr="00553876" w:rsidRDefault="002E78E7" w:rsidP="002E78E7">
      <w:pPr>
        <w:spacing w:after="0" w:line="276" w:lineRule="auto"/>
        <w:contextualSpacing/>
        <w:jc w:val="center"/>
        <w:rPr>
          <w:rFonts w:cstheme="minorHAnsi"/>
          <w:color w:val="FF0000"/>
        </w:rPr>
      </w:pPr>
      <w:r>
        <w:rPr>
          <w:color w:val="FF0000"/>
        </w:rPr>
        <w:t>Öğrencilik Yaşamını</w:t>
      </w:r>
      <w:r w:rsidR="00553876">
        <w:rPr>
          <w:color w:val="FF0000"/>
        </w:rPr>
        <w:t xml:space="preserve"> </w:t>
      </w:r>
      <w:r w:rsidR="00D53865">
        <w:rPr>
          <w:color w:val="FF0000"/>
        </w:rPr>
        <w:t>İlgilendiren Mevzuatlar</w:t>
      </w:r>
      <w:r w:rsidR="00D4120B">
        <w:rPr>
          <w:color w:val="FF0000"/>
        </w:rPr>
        <w:t xml:space="preserve"> (</w:t>
      </w:r>
      <w:r w:rsidR="00553876">
        <w:rPr>
          <w:color w:val="FF0000"/>
        </w:rPr>
        <w:t>Ön Lisans ve Lisans Eğitim Öğretim</w:t>
      </w:r>
      <w:r w:rsidR="00D4120B">
        <w:rPr>
          <w:color w:val="FF0000"/>
        </w:rPr>
        <w:t xml:space="preserve"> Yönetmeliği</w:t>
      </w:r>
      <w:r>
        <w:rPr>
          <w:color w:val="FF0000"/>
        </w:rPr>
        <w:t>-</w:t>
      </w:r>
      <w:r w:rsidRPr="002E78E7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5F5F5"/>
        </w:rPr>
        <w:t xml:space="preserve"> </w:t>
      </w:r>
      <w:hyperlink r:id="rId5" w:tgtFrame="_blank" w:history="1">
        <w:proofErr w:type="spellStart"/>
        <w:r w:rsidRPr="00553876">
          <w:rPr>
            <w:rStyle w:val="Kpr"/>
            <w:rFonts w:cstheme="minorHAnsi"/>
            <w:bCs/>
            <w:color w:val="FF0000"/>
            <w:u w:val="none"/>
          </w:rPr>
          <w:t>Omü</w:t>
        </w:r>
        <w:proofErr w:type="spellEnd"/>
        <w:r w:rsidRPr="00553876">
          <w:rPr>
            <w:rStyle w:val="Kpr"/>
            <w:rFonts w:cstheme="minorHAnsi"/>
            <w:bCs/>
            <w:color w:val="FF0000"/>
            <w:u w:val="none"/>
          </w:rPr>
          <w:t xml:space="preserve"> Ders Muafiyeti ve İntibak İşlemleri Uygulama Usul ve Esasları</w:t>
        </w:r>
      </w:hyperlink>
      <w:r w:rsidRPr="00553876">
        <w:rPr>
          <w:rFonts w:cstheme="minorHAnsi"/>
          <w:bCs/>
          <w:color w:val="FF0000"/>
          <w:shd w:val="clear" w:color="auto" w:fill="F5F5F5"/>
        </w:rPr>
        <w:t xml:space="preserve">- </w:t>
      </w:r>
      <w:hyperlink r:id="rId6" w:tgtFrame="_blank" w:history="1">
        <w:proofErr w:type="spellStart"/>
        <w:r w:rsidRPr="00553876">
          <w:rPr>
            <w:rStyle w:val="Kpr"/>
            <w:rFonts w:cstheme="minorHAnsi"/>
            <w:bCs/>
            <w:color w:val="FF0000"/>
            <w:u w:val="none"/>
            <w:shd w:val="clear" w:color="auto" w:fill="F5F5F5"/>
          </w:rPr>
          <w:t>Omü</w:t>
        </w:r>
        <w:proofErr w:type="spellEnd"/>
        <w:r w:rsidRPr="00553876">
          <w:rPr>
            <w:rStyle w:val="Kpr"/>
            <w:rFonts w:cstheme="minorHAnsi"/>
            <w:bCs/>
            <w:color w:val="FF0000"/>
            <w:u w:val="none"/>
            <w:shd w:val="clear" w:color="auto" w:fill="F5F5F5"/>
          </w:rPr>
          <w:t xml:space="preserve"> Yaz Okulu Eğitim-Öğretim </w:t>
        </w:r>
        <w:proofErr w:type="spellStart"/>
        <w:r w:rsidRPr="00553876">
          <w:rPr>
            <w:rStyle w:val="Kpr"/>
            <w:rFonts w:cstheme="minorHAnsi"/>
            <w:bCs/>
            <w:color w:val="FF0000"/>
            <w:u w:val="none"/>
            <w:shd w:val="clear" w:color="auto" w:fill="F5F5F5"/>
          </w:rPr>
          <w:t>Yönergesİ</w:t>
        </w:r>
        <w:proofErr w:type="spellEnd"/>
      </w:hyperlink>
      <w:r w:rsidR="00553876">
        <w:rPr>
          <w:rStyle w:val="Kpr"/>
          <w:rFonts w:cstheme="minorHAnsi"/>
          <w:bCs/>
          <w:color w:val="FF0000"/>
          <w:u w:val="none"/>
          <w:shd w:val="clear" w:color="auto" w:fill="F5F5F5"/>
        </w:rPr>
        <w:t xml:space="preserve">- </w:t>
      </w:r>
      <w:r w:rsidR="00553876" w:rsidRPr="00553876">
        <w:rPr>
          <w:color w:val="FF0000"/>
        </w:rPr>
        <w:t>Yükseköğretim Kurumları Öğrenci Disiplin Yönetmeliğ</w:t>
      </w:r>
      <w:r w:rsidR="00553876" w:rsidRPr="00553876">
        <w:rPr>
          <w:color w:val="FF0000"/>
        </w:rPr>
        <w:t>i</w:t>
      </w:r>
      <w:r w:rsidR="00D4120B" w:rsidRPr="00553876">
        <w:rPr>
          <w:rFonts w:cstheme="minorHAnsi"/>
          <w:color w:val="FF0000"/>
        </w:rPr>
        <w:t>)</w:t>
      </w:r>
    </w:p>
    <w:p w:rsidR="009E29AE" w:rsidRPr="003D420C" w:rsidRDefault="009E29AE" w:rsidP="002E78E7">
      <w:pPr>
        <w:spacing w:after="0" w:line="276" w:lineRule="auto"/>
        <w:contextualSpacing/>
        <w:jc w:val="center"/>
        <w:rPr>
          <w:color w:val="FF0000"/>
        </w:rPr>
      </w:pPr>
      <w:r w:rsidRPr="003D420C">
        <w:rPr>
          <w:color w:val="FF0000"/>
        </w:rPr>
        <w:t>Öğrenci Değişim Programları</w:t>
      </w:r>
      <w:r w:rsidR="002E78E7">
        <w:rPr>
          <w:color w:val="FF0000"/>
        </w:rPr>
        <w:t>, Öğrenci Toplulukları</w:t>
      </w:r>
      <w:r w:rsidRPr="003D420C">
        <w:rPr>
          <w:color w:val="FF0000"/>
        </w:rPr>
        <w:t xml:space="preserve"> </w:t>
      </w:r>
      <w:r w:rsidR="003D420C" w:rsidRPr="003D420C">
        <w:rPr>
          <w:color w:val="FF0000"/>
        </w:rPr>
        <w:t>H</w:t>
      </w:r>
      <w:r w:rsidRPr="003D420C">
        <w:rPr>
          <w:color w:val="FF0000"/>
        </w:rPr>
        <w:t xml:space="preserve">akkında </w:t>
      </w:r>
      <w:r w:rsidR="003D420C" w:rsidRPr="003D420C">
        <w:rPr>
          <w:color w:val="FF0000"/>
        </w:rPr>
        <w:t>B</w:t>
      </w:r>
      <w:r w:rsidRPr="003D420C">
        <w:rPr>
          <w:color w:val="FF0000"/>
        </w:rPr>
        <w:t xml:space="preserve">ilgi </w:t>
      </w:r>
      <w:r w:rsidR="003D420C" w:rsidRPr="003D420C">
        <w:rPr>
          <w:color w:val="FF0000"/>
        </w:rPr>
        <w:t>V</w:t>
      </w:r>
      <w:r w:rsidRPr="003D420C">
        <w:rPr>
          <w:color w:val="FF0000"/>
        </w:rPr>
        <w:t>erilmesi</w:t>
      </w:r>
      <w:bookmarkStart w:id="0" w:name="_GoBack"/>
      <w:bookmarkEnd w:id="0"/>
    </w:p>
    <w:p w:rsidR="009E29AE" w:rsidRPr="003D420C" w:rsidRDefault="009E29AE" w:rsidP="002E78E7">
      <w:pPr>
        <w:spacing w:after="0" w:line="276" w:lineRule="auto"/>
        <w:contextualSpacing/>
        <w:jc w:val="center"/>
        <w:rPr>
          <w:color w:val="FF0000"/>
        </w:rPr>
      </w:pPr>
      <w:r w:rsidRPr="003D420C">
        <w:rPr>
          <w:color w:val="FF0000"/>
        </w:rPr>
        <w:t>Soru-Cevap</w:t>
      </w:r>
    </w:p>
    <w:p w:rsidR="0009089A" w:rsidRDefault="009E29AE" w:rsidP="002E78E7">
      <w:pPr>
        <w:spacing w:line="276" w:lineRule="auto"/>
        <w:jc w:val="center"/>
        <w:rPr>
          <w:color w:val="FF0000"/>
        </w:rPr>
      </w:pPr>
      <w:r w:rsidRPr="003D420C">
        <w:rPr>
          <w:color w:val="FF0000"/>
        </w:rPr>
        <w:t>Kapanış</w:t>
      </w:r>
    </w:p>
    <w:tbl>
      <w:tblPr>
        <w:tblStyle w:val="KlavuzuTablo4-Vurgu51"/>
        <w:tblpPr w:leftFromText="141" w:rightFromText="141" w:vertAnchor="text" w:horzAnchor="margin" w:tblpY="99"/>
        <w:tblW w:w="9425" w:type="dxa"/>
        <w:tblLook w:val="04A0" w:firstRow="1" w:lastRow="0" w:firstColumn="1" w:lastColumn="0" w:noHBand="0" w:noVBand="1"/>
      </w:tblPr>
      <w:tblGrid>
        <w:gridCol w:w="3861"/>
        <w:gridCol w:w="1668"/>
        <w:gridCol w:w="695"/>
        <w:gridCol w:w="3201"/>
      </w:tblGrid>
      <w:tr w:rsidR="0096734F" w:rsidRPr="00A75D33" w:rsidTr="00553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5" w:type="dxa"/>
            <w:gridSpan w:val="4"/>
          </w:tcPr>
          <w:p w:rsidR="0096734F" w:rsidRPr="00A75D33" w:rsidRDefault="0096734F" w:rsidP="000A0C4F">
            <w:pPr>
              <w:jc w:val="center"/>
              <w:rPr>
                <w:sz w:val="16"/>
                <w:szCs w:val="16"/>
              </w:rPr>
            </w:pPr>
          </w:p>
        </w:tc>
      </w:tr>
      <w:tr w:rsidR="0096734F" w:rsidRPr="00A75D33" w:rsidTr="0055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96734F" w:rsidRPr="002E78E7" w:rsidRDefault="00654AE2" w:rsidP="00ED696A">
            <w:pPr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Bölümler</w:t>
            </w:r>
            <w:r w:rsidR="0096734F" w:rsidRPr="002E78E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668" w:type="dxa"/>
          </w:tcPr>
          <w:p w:rsidR="0096734F" w:rsidRPr="002E78E7" w:rsidRDefault="0096734F" w:rsidP="000A0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Saati</w:t>
            </w:r>
          </w:p>
        </w:tc>
        <w:tc>
          <w:tcPr>
            <w:tcW w:w="695" w:type="dxa"/>
          </w:tcPr>
          <w:p w:rsidR="0096734F" w:rsidRPr="002E78E7" w:rsidRDefault="0096734F" w:rsidP="000A0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96734F" w:rsidRPr="002E78E7" w:rsidRDefault="0096734F" w:rsidP="000A0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Yeri</w:t>
            </w:r>
          </w:p>
        </w:tc>
      </w:tr>
      <w:tr w:rsidR="0080174B" w:rsidRPr="00A75D33" w:rsidTr="005538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80174B" w:rsidRPr="002E78E7" w:rsidRDefault="00654AE2" w:rsidP="00654AE2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>Özel Eğitim Bölümü</w:t>
            </w:r>
          </w:p>
        </w:tc>
        <w:tc>
          <w:tcPr>
            <w:tcW w:w="1668" w:type="dxa"/>
          </w:tcPr>
          <w:p w:rsidR="0080174B" w:rsidRPr="002E78E7" w:rsidRDefault="00654AE2" w:rsidP="0080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12.10.2022</w:t>
            </w:r>
          </w:p>
        </w:tc>
        <w:tc>
          <w:tcPr>
            <w:tcW w:w="695" w:type="dxa"/>
          </w:tcPr>
          <w:p w:rsidR="0080174B" w:rsidRPr="002E78E7" w:rsidRDefault="00DD38BC" w:rsidP="0080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13.00</w:t>
            </w:r>
          </w:p>
        </w:tc>
        <w:tc>
          <w:tcPr>
            <w:tcW w:w="3200" w:type="dxa"/>
          </w:tcPr>
          <w:p w:rsidR="0080174B" w:rsidRPr="002E78E7" w:rsidRDefault="00654AE2" w:rsidP="0080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B Blok</w:t>
            </w:r>
            <w:r w:rsidR="0080174B" w:rsidRPr="002E78E7">
              <w:rPr>
                <w:sz w:val="18"/>
                <w:szCs w:val="18"/>
              </w:rPr>
              <w:t xml:space="preserve"> Konferans Salonu</w:t>
            </w:r>
          </w:p>
        </w:tc>
      </w:tr>
      <w:tr w:rsidR="00DD38BC" w:rsidRPr="00A75D33" w:rsidTr="0055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 xml:space="preserve">Rehberlik ve Psikolojik Danışmanlık </w:t>
            </w:r>
          </w:p>
        </w:tc>
        <w:tc>
          <w:tcPr>
            <w:tcW w:w="1668" w:type="dxa"/>
          </w:tcPr>
          <w:p w:rsidR="00DD38BC" w:rsidRPr="002E78E7" w:rsidRDefault="00DD38BC" w:rsidP="00DD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12.10.2022</w:t>
            </w:r>
          </w:p>
        </w:tc>
        <w:tc>
          <w:tcPr>
            <w:tcW w:w="695" w:type="dxa"/>
          </w:tcPr>
          <w:p w:rsidR="00DD38BC" w:rsidRPr="002E78E7" w:rsidRDefault="00FE6F9E" w:rsidP="00DD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14.3</w:t>
            </w:r>
            <w:r w:rsidR="00DD38BC" w:rsidRPr="002E78E7">
              <w:rPr>
                <w:sz w:val="18"/>
                <w:szCs w:val="18"/>
              </w:rPr>
              <w:t>0</w:t>
            </w:r>
          </w:p>
        </w:tc>
        <w:tc>
          <w:tcPr>
            <w:tcW w:w="3200" w:type="dxa"/>
          </w:tcPr>
          <w:p w:rsidR="00DD38BC" w:rsidRPr="002E78E7" w:rsidRDefault="00DD38BC" w:rsidP="00DD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B Blok Konferans Salonu</w:t>
            </w:r>
          </w:p>
        </w:tc>
      </w:tr>
      <w:tr w:rsidR="00DD38BC" w:rsidRPr="00A75D33" w:rsidTr="00553876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>Yabancı Diller Eğitimi Bölümü</w:t>
            </w:r>
          </w:p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 xml:space="preserve">       İngiliz Dili Eğitimi</w:t>
            </w:r>
          </w:p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 xml:space="preserve">       Alman Dili Eğitimi</w:t>
            </w:r>
          </w:p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 xml:space="preserve">       Fransız Dili Eğitimi</w:t>
            </w:r>
          </w:p>
        </w:tc>
        <w:tc>
          <w:tcPr>
            <w:tcW w:w="1668" w:type="dxa"/>
          </w:tcPr>
          <w:p w:rsidR="00DD38BC" w:rsidRPr="002E78E7" w:rsidRDefault="00DD38BC" w:rsidP="00DD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12.10.2022</w:t>
            </w:r>
          </w:p>
        </w:tc>
        <w:tc>
          <w:tcPr>
            <w:tcW w:w="695" w:type="dxa"/>
          </w:tcPr>
          <w:p w:rsidR="00DD38BC" w:rsidRPr="002E78E7" w:rsidRDefault="00FE6F9E" w:rsidP="00DD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14.3</w:t>
            </w:r>
            <w:r w:rsidR="00DD38BC" w:rsidRPr="002E78E7">
              <w:rPr>
                <w:sz w:val="18"/>
                <w:szCs w:val="18"/>
              </w:rPr>
              <w:t>0</w:t>
            </w:r>
          </w:p>
        </w:tc>
        <w:tc>
          <w:tcPr>
            <w:tcW w:w="3200" w:type="dxa"/>
          </w:tcPr>
          <w:p w:rsidR="00DD38BC" w:rsidRPr="002E78E7" w:rsidRDefault="00DD38BC" w:rsidP="00DD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B Blok Konferans Salonu</w:t>
            </w:r>
          </w:p>
        </w:tc>
      </w:tr>
      <w:tr w:rsidR="00DD38BC" w:rsidRPr="00A75D33" w:rsidTr="0055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>Güzel Sanatlar Eğitimi Bölümü</w:t>
            </w:r>
          </w:p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 xml:space="preserve">       Resim İş Eğitimi</w:t>
            </w:r>
          </w:p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 xml:space="preserve">       Müzik Eğitimi</w:t>
            </w:r>
          </w:p>
        </w:tc>
        <w:tc>
          <w:tcPr>
            <w:tcW w:w="1668" w:type="dxa"/>
          </w:tcPr>
          <w:p w:rsidR="00DD38BC" w:rsidRPr="002E78E7" w:rsidRDefault="00DD38BC" w:rsidP="00DD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13.10.2022</w:t>
            </w:r>
          </w:p>
        </w:tc>
        <w:tc>
          <w:tcPr>
            <w:tcW w:w="695" w:type="dxa"/>
          </w:tcPr>
          <w:p w:rsidR="00DD38BC" w:rsidRPr="002E78E7" w:rsidRDefault="00DD38BC" w:rsidP="00DD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13.00</w:t>
            </w:r>
          </w:p>
        </w:tc>
        <w:tc>
          <w:tcPr>
            <w:tcW w:w="3200" w:type="dxa"/>
          </w:tcPr>
          <w:p w:rsidR="00DD38BC" w:rsidRPr="002E78E7" w:rsidRDefault="00DD38BC" w:rsidP="00DD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B Blok Konferans Salonu</w:t>
            </w:r>
          </w:p>
        </w:tc>
      </w:tr>
      <w:tr w:rsidR="00DD38BC" w:rsidRPr="00A75D33" w:rsidTr="005538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>Matematik ve Fen Bilimleri Eğitimi Bölümü</w:t>
            </w:r>
          </w:p>
        </w:tc>
        <w:tc>
          <w:tcPr>
            <w:tcW w:w="1668" w:type="dxa"/>
          </w:tcPr>
          <w:p w:rsidR="00DD38BC" w:rsidRPr="002E78E7" w:rsidRDefault="00DD38BC" w:rsidP="00DD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13.10.2022</w:t>
            </w:r>
          </w:p>
        </w:tc>
        <w:tc>
          <w:tcPr>
            <w:tcW w:w="695" w:type="dxa"/>
          </w:tcPr>
          <w:p w:rsidR="00DD38BC" w:rsidRPr="002E78E7" w:rsidRDefault="00DD38BC" w:rsidP="00DD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13.00</w:t>
            </w:r>
          </w:p>
        </w:tc>
        <w:tc>
          <w:tcPr>
            <w:tcW w:w="3200" w:type="dxa"/>
          </w:tcPr>
          <w:p w:rsidR="00DD38BC" w:rsidRPr="002E78E7" w:rsidRDefault="00DD38BC" w:rsidP="00DD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B Blok Konferans Salonu</w:t>
            </w:r>
          </w:p>
        </w:tc>
      </w:tr>
      <w:tr w:rsidR="00DD38BC" w:rsidRPr="00A75D33" w:rsidTr="0055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>Temel Eğitim Bölümü</w:t>
            </w:r>
          </w:p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 xml:space="preserve">       Okul Öncesi Eğitimi</w:t>
            </w:r>
          </w:p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 xml:space="preserve">       Sınıf Eğitimi</w:t>
            </w:r>
          </w:p>
        </w:tc>
        <w:tc>
          <w:tcPr>
            <w:tcW w:w="1668" w:type="dxa"/>
          </w:tcPr>
          <w:p w:rsidR="00DD38BC" w:rsidRPr="002E78E7" w:rsidRDefault="00DD38BC" w:rsidP="00DD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13.10.2022</w:t>
            </w:r>
          </w:p>
        </w:tc>
        <w:tc>
          <w:tcPr>
            <w:tcW w:w="695" w:type="dxa"/>
          </w:tcPr>
          <w:p w:rsidR="00DD38BC" w:rsidRPr="002E78E7" w:rsidRDefault="00FE6F9E" w:rsidP="00DD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14.30</w:t>
            </w:r>
          </w:p>
        </w:tc>
        <w:tc>
          <w:tcPr>
            <w:tcW w:w="3200" w:type="dxa"/>
          </w:tcPr>
          <w:p w:rsidR="00DD38BC" w:rsidRPr="002E78E7" w:rsidRDefault="00DD38BC" w:rsidP="00DD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B Blok Konferans Salonu</w:t>
            </w:r>
          </w:p>
        </w:tc>
      </w:tr>
      <w:tr w:rsidR="00DD38BC" w:rsidRPr="00A75D33" w:rsidTr="0055387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DD38BC" w:rsidRPr="002E78E7" w:rsidRDefault="00DD38BC" w:rsidP="00DD38BC">
            <w:pPr>
              <w:rPr>
                <w:b w:val="0"/>
                <w:sz w:val="18"/>
                <w:szCs w:val="18"/>
              </w:rPr>
            </w:pPr>
            <w:r w:rsidRPr="002E78E7">
              <w:rPr>
                <w:b w:val="0"/>
                <w:sz w:val="18"/>
                <w:szCs w:val="18"/>
              </w:rPr>
              <w:t>Türkçe ve Sosyal Bilgiler Eğitimi Bölümü</w:t>
            </w:r>
          </w:p>
        </w:tc>
        <w:tc>
          <w:tcPr>
            <w:tcW w:w="1668" w:type="dxa"/>
          </w:tcPr>
          <w:p w:rsidR="00DD38BC" w:rsidRPr="002E78E7" w:rsidRDefault="00DD38BC" w:rsidP="00DD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13.10.2022</w:t>
            </w:r>
          </w:p>
        </w:tc>
        <w:tc>
          <w:tcPr>
            <w:tcW w:w="695" w:type="dxa"/>
          </w:tcPr>
          <w:p w:rsidR="00DD38BC" w:rsidRPr="002E78E7" w:rsidRDefault="00FE6F9E" w:rsidP="00DD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14.30</w:t>
            </w:r>
          </w:p>
        </w:tc>
        <w:tc>
          <w:tcPr>
            <w:tcW w:w="3200" w:type="dxa"/>
          </w:tcPr>
          <w:p w:rsidR="00DD38BC" w:rsidRPr="002E78E7" w:rsidRDefault="00DD38BC" w:rsidP="00DD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8E7">
              <w:rPr>
                <w:sz w:val="18"/>
                <w:szCs w:val="18"/>
              </w:rPr>
              <w:t>B Blok Konferans Salonu</w:t>
            </w:r>
          </w:p>
        </w:tc>
      </w:tr>
      <w:tr w:rsidR="0080174B" w:rsidRPr="00A75D33" w:rsidTr="0055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80174B" w:rsidRPr="00A75D33" w:rsidRDefault="0080174B" w:rsidP="0080174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668" w:type="dxa"/>
          </w:tcPr>
          <w:p w:rsidR="0080174B" w:rsidRPr="00A75D33" w:rsidRDefault="0080174B" w:rsidP="0080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80174B" w:rsidRDefault="0080174B" w:rsidP="0080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:rsidR="0080174B" w:rsidRPr="00A75D33" w:rsidRDefault="0080174B" w:rsidP="0080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A0C4F" w:rsidRDefault="000A0C4F" w:rsidP="00201A80">
      <w:pPr>
        <w:jc w:val="center"/>
        <w:rPr>
          <w:color w:val="FF0000"/>
        </w:rPr>
      </w:pPr>
    </w:p>
    <w:sectPr w:rsidR="000A0C4F" w:rsidSect="00A75D3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E0"/>
    <w:rsid w:val="00002C62"/>
    <w:rsid w:val="0003430E"/>
    <w:rsid w:val="00044E81"/>
    <w:rsid w:val="0009089A"/>
    <w:rsid w:val="000A0C4F"/>
    <w:rsid w:val="001B4D4C"/>
    <w:rsid w:val="001C0311"/>
    <w:rsid w:val="00201640"/>
    <w:rsid w:val="00201A80"/>
    <w:rsid w:val="00256E89"/>
    <w:rsid w:val="00293915"/>
    <w:rsid w:val="00293F50"/>
    <w:rsid w:val="0029771E"/>
    <w:rsid w:val="002E4BEF"/>
    <w:rsid w:val="002E78E7"/>
    <w:rsid w:val="00306E71"/>
    <w:rsid w:val="0030766C"/>
    <w:rsid w:val="00366133"/>
    <w:rsid w:val="003D420C"/>
    <w:rsid w:val="004278A1"/>
    <w:rsid w:val="004C3ED1"/>
    <w:rsid w:val="00553876"/>
    <w:rsid w:val="005B7D59"/>
    <w:rsid w:val="005D13B8"/>
    <w:rsid w:val="00654AE2"/>
    <w:rsid w:val="0068496F"/>
    <w:rsid w:val="006A39E0"/>
    <w:rsid w:val="0070280E"/>
    <w:rsid w:val="00736F3B"/>
    <w:rsid w:val="007578FE"/>
    <w:rsid w:val="007B0DB4"/>
    <w:rsid w:val="007D7EDD"/>
    <w:rsid w:val="0080174B"/>
    <w:rsid w:val="0096734F"/>
    <w:rsid w:val="009A2C10"/>
    <w:rsid w:val="009B4202"/>
    <w:rsid w:val="009D05DA"/>
    <w:rsid w:val="009E29AE"/>
    <w:rsid w:val="00A00D61"/>
    <w:rsid w:val="00A2260F"/>
    <w:rsid w:val="00A75D33"/>
    <w:rsid w:val="00BE45AB"/>
    <w:rsid w:val="00C109D1"/>
    <w:rsid w:val="00D32783"/>
    <w:rsid w:val="00D4120B"/>
    <w:rsid w:val="00D53865"/>
    <w:rsid w:val="00D7078D"/>
    <w:rsid w:val="00D97B41"/>
    <w:rsid w:val="00DD0A47"/>
    <w:rsid w:val="00DD38BC"/>
    <w:rsid w:val="00E311EC"/>
    <w:rsid w:val="00E47346"/>
    <w:rsid w:val="00EA58B6"/>
    <w:rsid w:val="00ED696A"/>
    <w:rsid w:val="00F450E5"/>
    <w:rsid w:val="00F83F09"/>
    <w:rsid w:val="00F84885"/>
    <w:rsid w:val="00FA6DF9"/>
    <w:rsid w:val="00FE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F29"/>
  <w15:docId w15:val="{EF0826CD-BE61-4653-B20E-20EF5241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4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4D4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E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BE45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F848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1C0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E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s.kaysis.gov.tr/Home/Goster/140902" TargetMode="External"/><Relationship Id="rId5" Type="http://schemas.openxmlformats.org/officeDocument/2006/relationships/hyperlink" Target="https://kms.kaysis.gov.tr/Home/Goster/635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caucasion</cp:lastModifiedBy>
  <cp:revision>4</cp:revision>
  <dcterms:created xsi:type="dcterms:W3CDTF">2022-10-10T13:01:00Z</dcterms:created>
  <dcterms:modified xsi:type="dcterms:W3CDTF">2022-10-11T05:52:00Z</dcterms:modified>
</cp:coreProperties>
</file>